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EA767" w14:textId="77777777" w:rsidR="00B165DB" w:rsidRDefault="00B165DB" w:rsidP="003137CF">
      <w:pPr>
        <w:jc w:val="center"/>
        <w:rPr>
          <w:rFonts w:ascii="Arial" w:hAnsi="Arial" w:cs="Arial"/>
          <w:b/>
          <w:bCs/>
        </w:rPr>
      </w:pPr>
    </w:p>
    <w:p w14:paraId="1365069F" w14:textId="16643303" w:rsidR="003137CF" w:rsidRDefault="00CA77D7" w:rsidP="003137CF">
      <w:pPr>
        <w:jc w:val="center"/>
        <w:rPr>
          <w:rFonts w:ascii="Arial" w:hAnsi="Arial" w:cs="Arial"/>
          <w:b/>
          <w:bCs/>
          <w:sz w:val="28"/>
          <w:szCs w:val="28"/>
        </w:rPr>
      </w:pPr>
      <w:r w:rsidRPr="001643AE">
        <w:rPr>
          <w:rFonts w:ascii="Arial" w:hAnsi="Arial" w:cs="Arial"/>
          <w:b/>
          <w:bCs/>
          <w:sz w:val="28"/>
          <w:szCs w:val="28"/>
        </w:rPr>
        <w:t>Practical advice for GP practice teams when c</w:t>
      </w:r>
      <w:r w:rsidR="00B165DB" w:rsidRPr="001643AE">
        <w:rPr>
          <w:rFonts w:ascii="Arial" w:hAnsi="Arial" w:cs="Arial"/>
          <w:b/>
          <w:bCs/>
          <w:sz w:val="28"/>
          <w:szCs w:val="28"/>
        </w:rPr>
        <w:t xml:space="preserve">ommunity pharmacy </w:t>
      </w:r>
      <w:r w:rsidR="003137CF" w:rsidRPr="001643AE">
        <w:rPr>
          <w:rFonts w:ascii="Arial" w:hAnsi="Arial" w:cs="Arial"/>
          <w:b/>
          <w:bCs/>
          <w:sz w:val="28"/>
          <w:szCs w:val="28"/>
        </w:rPr>
        <w:t xml:space="preserve">EPS </w:t>
      </w:r>
      <w:r w:rsidR="00B165DB" w:rsidRPr="001643AE">
        <w:rPr>
          <w:rFonts w:ascii="Arial" w:hAnsi="Arial" w:cs="Arial"/>
          <w:b/>
          <w:bCs/>
          <w:sz w:val="28"/>
          <w:szCs w:val="28"/>
        </w:rPr>
        <w:t>or</w:t>
      </w:r>
      <w:r w:rsidR="003137CF" w:rsidRPr="001643AE">
        <w:rPr>
          <w:rFonts w:ascii="Arial" w:hAnsi="Arial" w:cs="Arial"/>
          <w:b/>
          <w:bCs/>
          <w:sz w:val="28"/>
          <w:szCs w:val="28"/>
        </w:rPr>
        <w:t xml:space="preserve"> IT </w:t>
      </w:r>
      <w:r w:rsidR="009E45CB" w:rsidRPr="001643AE">
        <w:rPr>
          <w:rFonts w:ascii="Arial" w:hAnsi="Arial" w:cs="Arial"/>
          <w:b/>
          <w:bCs/>
          <w:sz w:val="28"/>
          <w:szCs w:val="28"/>
        </w:rPr>
        <w:t>system</w:t>
      </w:r>
      <w:r w:rsidRPr="001643AE">
        <w:rPr>
          <w:rFonts w:ascii="Arial" w:hAnsi="Arial" w:cs="Arial"/>
          <w:b/>
          <w:bCs/>
          <w:sz w:val="28"/>
          <w:szCs w:val="28"/>
        </w:rPr>
        <w:t>s fail for an extended time</w:t>
      </w:r>
      <w:r w:rsidR="00B165DB" w:rsidRPr="00B165DB">
        <w:rPr>
          <w:rFonts w:ascii="Arial" w:hAnsi="Arial" w:cs="Arial"/>
          <w:b/>
          <w:bCs/>
          <w:sz w:val="28"/>
          <w:szCs w:val="28"/>
        </w:rPr>
        <w:t xml:space="preserve"> </w:t>
      </w:r>
    </w:p>
    <w:p w14:paraId="1D05BE21" w14:textId="77777777" w:rsidR="001643AE" w:rsidRPr="00B165DB" w:rsidRDefault="001643AE" w:rsidP="003137CF">
      <w:pPr>
        <w:jc w:val="center"/>
        <w:rPr>
          <w:rFonts w:ascii="Arial" w:hAnsi="Arial" w:cs="Arial"/>
          <w:b/>
          <w:bCs/>
          <w:sz w:val="28"/>
          <w:szCs w:val="28"/>
        </w:rPr>
      </w:pPr>
    </w:p>
    <w:p w14:paraId="0DE96262" w14:textId="3FB58469" w:rsidR="00B165DB" w:rsidRPr="00B165DB" w:rsidRDefault="00B165DB" w:rsidP="00B165DB">
      <w:pPr>
        <w:pStyle w:val="ListParagraph"/>
        <w:numPr>
          <w:ilvl w:val="0"/>
          <w:numId w:val="3"/>
        </w:numPr>
        <w:rPr>
          <w:rFonts w:ascii="Arial" w:hAnsi="Arial" w:cs="Arial"/>
          <w:b/>
          <w:bCs/>
        </w:rPr>
      </w:pPr>
      <w:r w:rsidRPr="00B165DB">
        <w:rPr>
          <w:rFonts w:ascii="Arial" w:hAnsi="Arial" w:cs="Arial"/>
          <w:b/>
          <w:bCs/>
        </w:rPr>
        <w:t>General information and business continuity planning:</w:t>
      </w:r>
    </w:p>
    <w:p w14:paraId="31AA0A4A" w14:textId="04934CEC" w:rsidR="001643AE" w:rsidRPr="001643AE" w:rsidRDefault="003137CF" w:rsidP="001643AE">
      <w:pPr>
        <w:spacing w:before="240" w:after="240"/>
        <w:rPr>
          <w:color w:val="0000FF"/>
          <w:u w:val="single"/>
        </w:rPr>
      </w:pPr>
      <w:r>
        <w:rPr>
          <w:rFonts w:ascii="Arial" w:hAnsi="Arial" w:cs="Arial"/>
        </w:rPr>
        <w:t xml:space="preserve">When community pharmacies suffer an IT failure and EPS system goes down for an extended </w:t>
      </w:r>
      <w:r w:rsidR="00D61F97">
        <w:rPr>
          <w:rFonts w:ascii="Arial" w:hAnsi="Arial" w:cs="Arial"/>
        </w:rPr>
        <w:t xml:space="preserve">time </w:t>
      </w:r>
      <w:r w:rsidR="00905EEB" w:rsidRPr="004E35A3">
        <w:rPr>
          <w:rFonts w:ascii="Arial" w:hAnsi="Arial" w:cs="Arial"/>
        </w:rPr>
        <w:t>i.e.</w:t>
      </w:r>
      <w:r w:rsidR="004E35A3">
        <w:rPr>
          <w:rFonts w:ascii="Arial" w:hAnsi="Arial" w:cs="Arial"/>
        </w:rPr>
        <w:t>,</w:t>
      </w:r>
      <w:r w:rsidR="00905EEB" w:rsidRPr="004E35A3">
        <w:rPr>
          <w:rFonts w:ascii="Arial" w:hAnsi="Arial" w:cs="Arial"/>
        </w:rPr>
        <w:t xml:space="preserve"> </w:t>
      </w:r>
      <w:r w:rsidR="004E35A3" w:rsidRPr="001643AE">
        <w:rPr>
          <w:rFonts w:ascii="Arial" w:hAnsi="Arial" w:cs="Arial"/>
        </w:rPr>
        <w:t>m</w:t>
      </w:r>
      <w:r w:rsidR="00905EEB" w:rsidRPr="001643AE">
        <w:rPr>
          <w:rFonts w:ascii="Arial" w:hAnsi="Arial" w:cs="Arial"/>
        </w:rPr>
        <w:t>ore</w:t>
      </w:r>
      <w:r w:rsidR="00D61F97" w:rsidRPr="001643AE">
        <w:rPr>
          <w:rFonts w:ascii="Arial" w:hAnsi="Arial" w:cs="Arial"/>
        </w:rPr>
        <w:t xml:space="preserve"> than 24 hours</w:t>
      </w:r>
      <w:r w:rsidRPr="001643AE">
        <w:rPr>
          <w:rFonts w:ascii="Arial" w:hAnsi="Arial" w:cs="Arial"/>
        </w:rPr>
        <w:t>,</w:t>
      </w:r>
      <w:r>
        <w:rPr>
          <w:rFonts w:ascii="Arial" w:hAnsi="Arial" w:cs="Arial"/>
        </w:rPr>
        <w:t xml:space="preserve"> they should have mitigations put in place as part of their business continuity plans, including contacting affected GP practices.</w:t>
      </w:r>
      <w:r w:rsidR="00B165DB">
        <w:rPr>
          <w:rFonts w:ascii="Arial" w:hAnsi="Arial" w:cs="Arial"/>
        </w:rPr>
        <w:t xml:space="preserve">  Further information is available on PSNC website</w:t>
      </w:r>
      <w:r w:rsidR="005E38CF">
        <w:rPr>
          <w:rFonts w:ascii="Arial" w:hAnsi="Arial" w:cs="Arial"/>
        </w:rPr>
        <w:t xml:space="preserve">  </w:t>
      </w:r>
      <w:hyperlink r:id="rId7" w:history="1">
        <w:r w:rsidR="00651DB4">
          <w:rPr>
            <w:rStyle w:val="Hyperlink"/>
          </w:rPr>
          <w:t>IT and EPS contingency planning - PSNC Website</w:t>
        </w:r>
      </w:hyperlink>
      <w:r w:rsidR="00685129">
        <w:rPr>
          <w:rStyle w:val="Hyperlink"/>
        </w:rPr>
        <w:t xml:space="preserve">. </w:t>
      </w:r>
    </w:p>
    <w:p w14:paraId="0E9D1E13" w14:textId="77777777" w:rsidR="004E35A3" w:rsidRPr="001643AE" w:rsidRDefault="004E35A3" w:rsidP="001643AE">
      <w:pPr>
        <w:spacing w:before="240" w:after="240"/>
        <w:rPr>
          <w:rFonts w:ascii="Arial" w:hAnsi="Arial" w:cs="Arial"/>
        </w:rPr>
      </w:pPr>
      <w:r w:rsidRPr="001643AE">
        <w:rPr>
          <w:rFonts w:ascii="Arial" w:hAnsi="Arial" w:cs="Arial"/>
        </w:rPr>
        <w:t>The PSNC recommends that pharmacies discuss relevant aspects of their plans with local GP practices. If practices do not currently have access to this information, they may wish to contact their local pharmacies to discuss. At the time of writing, the LPC has written to all local pharmacies to encourage them to contact practices if they have not already done so.</w:t>
      </w:r>
    </w:p>
    <w:p w14:paraId="53EC4213" w14:textId="005BA8C5" w:rsidR="00651DB4" w:rsidRDefault="00651DB4">
      <w:pPr>
        <w:rPr>
          <w:rStyle w:val="Hyperlink"/>
        </w:rPr>
      </w:pPr>
      <w:r>
        <w:rPr>
          <w:rFonts w:ascii="Arial" w:hAnsi="Arial" w:cs="Arial"/>
        </w:rPr>
        <w:t>PSNC have very useful guidance on how GPs and pharmacies can work together on EPS business continuity :</w:t>
      </w:r>
      <w:hyperlink r:id="rId8" w:history="1">
        <w:r>
          <w:rPr>
            <w:rStyle w:val="Hyperlink"/>
          </w:rPr>
          <w:t>PSNC-Briefing-076.16-How-GPs-and-pharmacies-can-work-together-on-EPS-business-continuity-002.pdf</w:t>
        </w:r>
      </w:hyperlink>
    </w:p>
    <w:p w14:paraId="57664A8F" w14:textId="77777777" w:rsidR="001643AE" w:rsidRDefault="001643AE">
      <w:pPr>
        <w:rPr>
          <w:rStyle w:val="Hyperlink"/>
        </w:rPr>
      </w:pPr>
    </w:p>
    <w:p w14:paraId="4CD36D3E" w14:textId="34F02301" w:rsidR="00651DB4" w:rsidRPr="00B165DB" w:rsidRDefault="00651DB4" w:rsidP="00B165DB">
      <w:pPr>
        <w:pStyle w:val="ListParagraph"/>
        <w:numPr>
          <w:ilvl w:val="0"/>
          <w:numId w:val="3"/>
        </w:numPr>
        <w:spacing w:before="80"/>
        <w:rPr>
          <w:rFonts w:ascii="Arial" w:hAnsi="Arial" w:cs="Arial"/>
          <w:b/>
          <w:bCs/>
        </w:rPr>
      </w:pPr>
      <w:r w:rsidRPr="00B165DB">
        <w:rPr>
          <w:rFonts w:ascii="Arial" w:hAnsi="Arial" w:cs="Arial"/>
          <w:b/>
          <w:bCs/>
        </w:rPr>
        <w:t>Mitigations GP practices could consider when there is a community pharmacy closure /IT failure and EPS is unavailable:</w:t>
      </w:r>
    </w:p>
    <w:p w14:paraId="196EE7CD" w14:textId="77777777" w:rsidR="00842016" w:rsidRPr="00842016" w:rsidRDefault="00842016" w:rsidP="00842016">
      <w:pPr>
        <w:pStyle w:val="ListParagraph"/>
        <w:spacing w:after="0" w:line="276" w:lineRule="auto"/>
      </w:pPr>
    </w:p>
    <w:p w14:paraId="20D46656" w14:textId="625C7533" w:rsidR="00651DB4" w:rsidRDefault="00651DB4" w:rsidP="00842016">
      <w:pPr>
        <w:pStyle w:val="ListParagraph"/>
        <w:numPr>
          <w:ilvl w:val="0"/>
          <w:numId w:val="4"/>
        </w:numPr>
        <w:spacing w:after="0" w:line="276" w:lineRule="auto"/>
      </w:pPr>
      <w:r w:rsidRPr="00842016">
        <w:rPr>
          <w:rFonts w:ascii="Arial" w:hAnsi="Arial" w:cs="Arial"/>
        </w:rPr>
        <w:t xml:space="preserve">Ensure practice staff know how to </w:t>
      </w:r>
      <w:r w:rsidRPr="00842016">
        <w:rPr>
          <w:rFonts w:ascii="Arial" w:hAnsi="Arial" w:cs="Arial"/>
          <w:i/>
          <w:iCs/>
        </w:rPr>
        <w:t>use the EPS Tracker to track and cancel</w:t>
      </w:r>
      <w:r w:rsidRPr="00842016">
        <w:rPr>
          <w:rFonts w:ascii="Arial" w:hAnsi="Arial" w:cs="Arial"/>
        </w:rPr>
        <w:t xml:space="preserve"> prescriptions</w:t>
      </w:r>
      <w:r w:rsidR="00905EEB" w:rsidRPr="00842016">
        <w:rPr>
          <w:rFonts w:ascii="Arial" w:hAnsi="Arial" w:cs="Arial"/>
        </w:rPr>
        <w:t xml:space="preserve">. </w:t>
      </w:r>
      <w:r w:rsidR="00AE5AC2" w:rsidRPr="00842016">
        <w:rPr>
          <w:rFonts w:ascii="Arial" w:hAnsi="Arial" w:cs="Arial"/>
        </w:rPr>
        <w:t>For EMIS users s</w:t>
      </w:r>
      <w:r w:rsidR="00B165DB" w:rsidRPr="00842016">
        <w:rPr>
          <w:rFonts w:ascii="Arial" w:hAnsi="Arial" w:cs="Arial"/>
        </w:rPr>
        <w:t xml:space="preserve">ee </w:t>
      </w:r>
      <w:hyperlink r:id="rId9" w:history="1">
        <w:r w:rsidR="009B3DC8">
          <w:rPr>
            <w:rStyle w:val="Hyperlink"/>
          </w:rPr>
          <w:t>EMIS Web EPS guides</w:t>
        </w:r>
      </w:hyperlink>
      <w:r w:rsidR="00AE5AC2" w:rsidRPr="00842016">
        <w:rPr>
          <w:rStyle w:val="Hyperlink"/>
          <w:rFonts w:ascii="Arial" w:hAnsi="Arial" w:cs="Arial"/>
          <w:color w:val="000000" w:themeColor="text1"/>
          <w:u w:val="none"/>
        </w:rPr>
        <w:t xml:space="preserve"> (available through EMIS Now – see later)  </w:t>
      </w:r>
    </w:p>
    <w:p w14:paraId="7EA6B930" w14:textId="77777777" w:rsidR="0094170D" w:rsidRDefault="0094170D" w:rsidP="0094170D">
      <w:pPr>
        <w:spacing w:after="0" w:line="276" w:lineRule="auto"/>
        <w:rPr>
          <w:rFonts w:ascii="Arial" w:hAnsi="Arial" w:cs="Arial"/>
        </w:rPr>
      </w:pPr>
    </w:p>
    <w:p w14:paraId="4C9FC4DC" w14:textId="455150AB" w:rsidR="0094170D" w:rsidRDefault="009B3DC8" w:rsidP="00842016">
      <w:pPr>
        <w:pStyle w:val="ListParagraph"/>
        <w:numPr>
          <w:ilvl w:val="0"/>
          <w:numId w:val="4"/>
        </w:numPr>
        <w:spacing w:after="0" w:line="276" w:lineRule="auto"/>
        <w:rPr>
          <w:rFonts w:ascii="Arial" w:eastAsia="Times New Roman" w:hAnsi="Arial" w:cs="Arial"/>
          <w:color w:val="000000"/>
        </w:rPr>
      </w:pPr>
      <w:r w:rsidRPr="00842016">
        <w:rPr>
          <w:rFonts w:ascii="Arial" w:eastAsia="Times New Roman" w:hAnsi="Arial" w:cs="Arial"/>
          <w:color w:val="000000"/>
        </w:rPr>
        <w:t>Use EPS Tracker and using the</w:t>
      </w:r>
      <w:r w:rsidR="00AE5AC2" w:rsidRPr="00842016">
        <w:rPr>
          <w:rFonts w:ascii="Arial" w:eastAsia="Times New Roman" w:hAnsi="Arial" w:cs="Arial"/>
          <w:color w:val="000000"/>
        </w:rPr>
        <w:t xml:space="preserve"> GP practice </w:t>
      </w:r>
      <w:r w:rsidRPr="00842016">
        <w:rPr>
          <w:rFonts w:ascii="Arial" w:eastAsia="Times New Roman" w:hAnsi="Arial" w:cs="Arial"/>
          <w:color w:val="000000"/>
        </w:rPr>
        <w:t xml:space="preserve">site code, list EPS prescriptions in a set date range and filter by their status to determine their whereabouts. </w:t>
      </w:r>
    </w:p>
    <w:p w14:paraId="53656FE6" w14:textId="77777777" w:rsidR="0022614C" w:rsidRPr="0022614C" w:rsidRDefault="0022614C" w:rsidP="0022614C">
      <w:pPr>
        <w:pStyle w:val="ListParagraph"/>
        <w:rPr>
          <w:rFonts w:ascii="Arial" w:eastAsia="Times New Roman" w:hAnsi="Arial" w:cs="Arial"/>
          <w:color w:val="000000"/>
        </w:rPr>
      </w:pPr>
    </w:p>
    <w:p w14:paraId="4AB6764A" w14:textId="762B03EE" w:rsidR="0094170D" w:rsidRPr="0022614C" w:rsidRDefault="009B3DC8" w:rsidP="0094170D">
      <w:pPr>
        <w:pStyle w:val="ListParagraph"/>
        <w:numPr>
          <w:ilvl w:val="0"/>
          <w:numId w:val="2"/>
        </w:numPr>
        <w:spacing w:after="0" w:line="276" w:lineRule="auto"/>
        <w:rPr>
          <w:rFonts w:ascii="Arial" w:eastAsia="Times New Roman" w:hAnsi="Arial" w:cs="Arial"/>
          <w:color w:val="000000"/>
        </w:rPr>
      </w:pPr>
      <w:r w:rsidRPr="0022614C">
        <w:rPr>
          <w:rFonts w:ascii="Arial" w:eastAsia="Times New Roman" w:hAnsi="Arial" w:cs="Arial"/>
          <w:color w:val="000000"/>
        </w:rPr>
        <w:t>Prescriptions not downloaded by the pharmacy will remain on spine, so giving the patient the barcode (via token</w:t>
      </w:r>
      <w:r w:rsidR="002440A5" w:rsidRPr="0022614C">
        <w:rPr>
          <w:rFonts w:ascii="Arial" w:eastAsia="Times New Roman" w:hAnsi="Arial" w:cs="Arial"/>
          <w:color w:val="000000"/>
        </w:rPr>
        <w:t>)</w:t>
      </w:r>
      <w:r w:rsidRPr="0022614C">
        <w:rPr>
          <w:rFonts w:ascii="Arial" w:eastAsia="Times New Roman" w:hAnsi="Arial" w:cs="Arial"/>
          <w:color w:val="000000"/>
        </w:rPr>
        <w:t xml:space="preserve"> or </w:t>
      </w:r>
      <w:r w:rsidR="002440A5" w:rsidRPr="0022614C">
        <w:rPr>
          <w:rFonts w:ascii="Arial" w:eastAsia="Times New Roman" w:hAnsi="Arial" w:cs="Arial"/>
          <w:color w:val="000000"/>
        </w:rPr>
        <w:t>using their NHS number (on NHS</w:t>
      </w:r>
      <w:r w:rsidRPr="0022614C">
        <w:rPr>
          <w:rFonts w:ascii="Arial" w:eastAsia="Times New Roman" w:hAnsi="Arial" w:cs="Arial"/>
          <w:color w:val="000000"/>
        </w:rPr>
        <w:t xml:space="preserve"> App) will enable them to collect </w:t>
      </w:r>
      <w:r w:rsidR="002440A5" w:rsidRPr="0022614C">
        <w:rPr>
          <w:rFonts w:ascii="Arial" w:eastAsia="Times New Roman" w:hAnsi="Arial" w:cs="Arial"/>
          <w:color w:val="000000"/>
        </w:rPr>
        <w:t xml:space="preserve">from </w:t>
      </w:r>
      <w:r w:rsidRPr="0022614C">
        <w:rPr>
          <w:rFonts w:ascii="Arial" w:eastAsia="Times New Roman" w:hAnsi="Arial" w:cs="Arial"/>
          <w:color w:val="000000"/>
        </w:rPr>
        <w:t>elsewhere</w:t>
      </w:r>
      <w:r w:rsidR="00905EEB" w:rsidRPr="0022614C">
        <w:rPr>
          <w:rFonts w:ascii="Arial" w:eastAsia="Times New Roman" w:hAnsi="Arial" w:cs="Arial"/>
          <w:color w:val="000000"/>
        </w:rPr>
        <w:t xml:space="preserve">. </w:t>
      </w:r>
      <w:r w:rsidR="002440A5" w:rsidRPr="0022614C">
        <w:rPr>
          <w:rFonts w:ascii="Arial" w:eastAsia="Times New Roman" w:hAnsi="Arial" w:cs="Arial"/>
          <w:color w:val="000000"/>
        </w:rPr>
        <w:t>See also under d) how patient can collect their prescription without attending the practice.</w:t>
      </w:r>
    </w:p>
    <w:p w14:paraId="6C003CAA" w14:textId="77777777" w:rsidR="0094170D" w:rsidRDefault="0094170D" w:rsidP="0094170D">
      <w:pPr>
        <w:spacing w:after="0" w:line="276" w:lineRule="auto"/>
        <w:rPr>
          <w:rFonts w:ascii="Arial" w:eastAsia="Times New Roman" w:hAnsi="Arial" w:cs="Arial"/>
          <w:color w:val="000000"/>
        </w:rPr>
      </w:pPr>
    </w:p>
    <w:p w14:paraId="669EB9F9" w14:textId="0ECCA2FF" w:rsidR="0094170D" w:rsidRDefault="009B3DC8" w:rsidP="002440A5">
      <w:pPr>
        <w:pStyle w:val="ListParagraph"/>
        <w:numPr>
          <w:ilvl w:val="0"/>
          <w:numId w:val="4"/>
        </w:numPr>
        <w:spacing w:after="0" w:line="276" w:lineRule="auto"/>
        <w:rPr>
          <w:rFonts w:ascii="Arial" w:hAnsi="Arial" w:cs="Arial"/>
        </w:rPr>
      </w:pPr>
      <w:r w:rsidRPr="002440A5">
        <w:rPr>
          <w:rFonts w:ascii="Arial" w:hAnsi="Arial" w:cs="Arial"/>
        </w:rPr>
        <w:t>Consider pr</w:t>
      </w:r>
      <w:r w:rsidR="00F6062B" w:rsidRPr="002440A5">
        <w:rPr>
          <w:rFonts w:ascii="Arial" w:hAnsi="Arial" w:cs="Arial"/>
        </w:rPr>
        <w:t>e-</w:t>
      </w:r>
      <w:r w:rsidRPr="002440A5">
        <w:rPr>
          <w:rFonts w:ascii="Arial" w:hAnsi="Arial" w:cs="Arial"/>
        </w:rPr>
        <w:t xml:space="preserve">empting patient queries by sending bulk </w:t>
      </w:r>
      <w:r w:rsidR="00F6062B" w:rsidRPr="002440A5">
        <w:rPr>
          <w:rFonts w:ascii="Arial" w:hAnsi="Arial" w:cs="Arial"/>
        </w:rPr>
        <w:t xml:space="preserve">Accurx </w:t>
      </w:r>
      <w:r w:rsidRPr="002440A5">
        <w:rPr>
          <w:rFonts w:ascii="Arial" w:hAnsi="Arial" w:cs="Arial"/>
        </w:rPr>
        <w:t>messages to those patients affected</w:t>
      </w:r>
      <w:r w:rsidR="00F6062B" w:rsidRPr="002440A5">
        <w:rPr>
          <w:rFonts w:ascii="Arial" w:hAnsi="Arial" w:cs="Arial"/>
        </w:rPr>
        <w:t>, for example advising only contacting</w:t>
      </w:r>
      <w:r w:rsidR="002440A5">
        <w:rPr>
          <w:rFonts w:ascii="Arial" w:hAnsi="Arial" w:cs="Arial"/>
        </w:rPr>
        <w:t xml:space="preserve"> the</w:t>
      </w:r>
      <w:r w:rsidR="00F6062B" w:rsidRPr="002440A5">
        <w:rPr>
          <w:rFonts w:ascii="Arial" w:hAnsi="Arial" w:cs="Arial"/>
        </w:rPr>
        <w:t xml:space="preserve"> practice if urgently going to run out of medication.</w:t>
      </w:r>
    </w:p>
    <w:p w14:paraId="5B95D87E" w14:textId="77777777" w:rsidR="0022614C" w:rsidRPr="002440A5" w:rsidRDefault="0022614C" w:rsidP="0022614C">
      <w:pPr>
        <w:pStyle w:val="ListParagraph"/>
        <w:spacing w:after="0" w:line="276" w:lineRule="auto"/>
        <w:rPr>
          <w:rFonts w:ascii="Arial" w:hAnsi="Arial" w:cs="Arial"/>
        </w:rPr>
      </w:pPr>
    </w:p>
    <w:p w14:paraId="5F4ACF27" w14:textId="467C27E3" w:rsidR="009B3DC8" w:rsidRPr="0094170D" w:rsidRDefault="00F6062B" w:rsidP="0094170D">
      <w:pPr>
        <w:pStyle w:val="ListParagraph"/>
        <w:numPr>
          <w:ilvl w:val="0"/>
          <w:numId w:val="2"/>
        </w:numPr>
        <w:spacing w:after="0" w:line="276" w:lineRule="auto"/>
        <w:rPr>
          <w:rFonts w:ascii="Arial" w:eastAsia="Times New Roman" w:hAnsi="Arial" w:cs="Arial"/>
          <w:color w:val="000000"/>
          <w:sz w:val="20"/>
          <w:szCs w:val="20"/>
        </w:rPr>
      </w:pPr>
      <w:r w:rsidRPr="0022614C">
        <w:rPr>
          <w:rFonts w:ascii="Arial" w:hAnsi="Arial" w:cs="Arial"/>
        </w:rPr>
        <w:t>It is possible to s</w:t>
      </w:r>
      <w:r w:rsidR="009B3DC8" w:rsidRPr="0022614C">
        <w:rPr>
          <w:rFonts w:ascii="Arial" w:eastAsia="Times New Roman" w:hAnsi="Arial" w:cs="Arial"/>
          <w:color w:val="000000"/>
        </w:rPr>
        <w:t>earch on EMIS for EPS prescriptions issued to the nominated pharmacy within a certain date range – this may help practices to identify which prescriptions to check on EPS tracker. Criteria – all drugs (rule 1 - medication issues with date range), specific pharmacy (rule 2 from patient details</w:t>
      </w:r>
      <w:r w:rsidR="0094170D" w:rsidRPr="0022614C">
        <w:rPr>
          <w:rFonts w:ascii="Arial" w:eastAsia="Times New Roman" w:hAnsi="Arial" w:cs="Arial"/>
          <w:color w:val="000000"/>
        </w:rPr>
        <w:t>)</w:t>
      </w:r>
    </w:p>
    <w:p w14:paraId="37F82A51" w14:textId="58EEB1CC" w:rsidR="0094170D" w:rsidRDefault="0094170D" w:rsidP="0094170D">
      <w:pPr>
        <w:spacing w:after="0" w:line="276" w:lineRule="auto"/>
        <w:rPr>
          <w:rFonts w:ascii="Arial" w:hAnsi="Arial" w:cs="Arial"/>
        </w:rPr>
      </w:pPr>
    </w:p>
    <w:p w14:paraId="5827B3A1" w14:textId="0622FD23" w:rsidR="0094170D" w:rsidRDefault="0094170D" w:rsidP="0094170D">
      <w:pPr>
        <w:spacing w:after="0" w:line="276" w:lineRule="auto"/>
        <w:rPr>
          <w:rFonts w:ascii="Arial" w:hAnsi="Arial" w:cs="Arial"/>
        </w:rPr>
      </w:pPr>
      <w:r>
        <w:rPr>
          <w:noProof/>
          <w:color w:val="1F497D"/>
        </w:rPr>
        <w:lastRenderedPageBreak/>
        <w:drawing>
          <wp:inline distT="0" distB="0" distL="0" distR="0" wp14:anchorId="0755CC6F" wp14:editId="2E67596E">
            <wp:extent cx="6401782" cy="1485900"/>
            <wp:effectExtent l="0" t="0" r="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5978" cy="1486874"/>
                    </a:xfrm>
                    <a:prstGeom prst="rect">
                      <a:avLst/>
                    </a:prstGeom>
                    <a:noFill/>
                    <a:ln>
                      <a:noFill/>
                    </a:ln>
                  </pic:spPr>
                </pic:pic>
              </a:graphicData>
            </a:graphic>
          </wp:inline>
        </w:drawing>
      </w:r>
    </w:p>
    <w:p w14:paraId="156CE87A" w14:textId="0E1F4586" w:rsidR="002440A5" w:rsidRDefault="002440A5" w:rsidP="0094170D">
      <w:pPr>
        <w:spacing w:after="0" w:line="276" w:lineRule="auto"/>
        <w:rPr>
          <w:rFonts w:ascii="Arial" w:hAnsi="Arial" w:cs="Arial"/>
        </w:rPr>
      </w:pPr>
    </w:p>
    <w:p w14:paraId="60BAD7CE" w14:textId="77777777" w:rsidR="002440A5" w:rsidRDefault="002440A5" w:rsidP="0094170D">
      <w:pPr>
        <w:spacing w:after="0" w:line="276" w:lineRule="auto"/>
        <w:rPr>
          <w:rFonts w:ascii="Arial" w:hAnsi="Arial" w:cs="Arial"/>
        </w:rPr>
      </w:pPr>
    </w:p>
    <w:p w14:paraId="3372D918" w14:textId="323C6F41" w:rsidR="0094170D" w:rsidRPr="002440A5" w:rsidRDefault="00F6062B" w:rsidP="002440A5">
      <w:pPr>
        <w:pStyle w:val="ListParagraph"/>
        <w:numPr>
          <w:ilvl w:val="0"/>
          <w:numId w:val="4"/>
        </w:numPr>
        <w:spacing w:after="0" w:line="276" w:lineRule="auto"/>
        <w:rPr>
          <w:rFonts w:ascii="Arial" w:hAnsi="Arial" w:cs="Arial"/>
        </w:rPr>
      </w:pPr>
      <w:r w:rsidRPr="002440A5">
        <w:rPr>
          <w:rFonts w:ascii="Arial" w:hAnsi="Arial" w:cs="Arial"/>
        </w:rPr>
        <w:t>For acute prescriptions</w:t>
      </w:r>
      <w:r w:rsidR="007D7864" w:rsidRPr="002440A5">
        <w:rPr>
          <w:rFonts w:ascii="Arial" w:hAnsi="Arial" w:cs="Arial"/>
        </w:rPr>
        <w:t xml:space="preserve">, </w:t>
      </w:r>
      <w:r w:rsidR="0094170D" w:rsidRPr="002440A5">
        <w:rPr>
          <w:rFonts w:ascii="Arial" w:hAnsi="Arial" w:cs="Arial"/>
        </w:rPr>
        <w:t>consider sending patient prescription token remotely.</w:t>
      </w:r>
    </w:p>
    <w:p w14:paraId="2EED545D" w14:textId="77777777" w:rsidR="0022614C" w:rsidRPr="0022614C" w:rsidRDefault="0022614C" w:rsidP="0022614C">
      <w:pPr>
        <w:spacing w:after="0" w:line="276" w:lineRule="auto"/>
        <w:rPr>
          <w:rFonts w:ascii="Arial" w:hAnsi="Arial" w:cs="Arial"/>
        </w:rPr>
      </w:pPr>
    </w:p>
    <w:p w14:paraId="7AE95185" w14:textId="1AB6B113" w:rsidR="00852AE7" w:rsidRPr="0022614C" w:rsidRDefault="0094170D" w:rsidP="0094170D">
      <w:pPr>
        <w:pStyle w:val="ListParagraph"/>
        <w:numPr>
          <w:ilvl w:val="0"/>
          <w:numId w:val="2"/>
        </w:numPr>
        <w:spacing w:after="0" w:line="276" w:lineRule="auto"/>
        <w:rPr>
          <w:rFonts w:ascii="Arial" w:hAnsi="Arial" w:cs="Arial"/>
        </w:rPr>
      </w:pPr>
      <w:r w:rsidRPr="0022614C">
        <w:rPr>
          <w:rFonts w:ascii="Arial" w:hAnsi="Arial" w:cs="Arial"/>
        </w:rPr>
        <w:t>E</w:t>
      </w:r>
      <w:r w:rsidR="007D7864" w:rsidRPr="0022614C">
        <w:rPr>
          <w:rFonts w:ascii="Arial" w:hAnsi="Arial" w:cs="Arial"/>
        </w:rPr>
        <w:t xml:space="preserve">nsure patient </w:t>
      </w:r>
      <w:r w:rsidR="007D7864" w:rsidRPr="0022614C">
        <w:rPr>
          <w:rFonts w:ascii="Arial" w:hAnsi="Arial" w:cs="Arial"/>
          <w:b/>
          <w:bCs/>
        </w:rPr>
        <w:t>does not have nominated pharmacy for this issue</w:t>
      </w:r>
      <w:r w:rsidR="007D7864" w:rsidRPr="0022614C">
        <w:rPr>
          <w:rFonts w:ascii="Arial" w:hAnsi="Arial" w:cs="Arial"/>
        </w:rPr>
        <w:t xml:space="preserve">, </w:t>
      </w:r>
      <w:r w:rsidR="00852AE7" w:rsidRPr="0022614C">
        <w:rPr>
          <w:rFonts w:ascii="Arial" w:hAnsi="Arial" w:cs="Arial"/>
        </w:rPr>
        <w:t>it is possible for the patient to collect their prescription without coming to the practice for their printed token by providing their NHS number or token ID to the pharmacy</w:t>
      </w:r>
      <w:r w:rsidR="00905EEB" w:rsidRPr="0022614C">
        <w:rPr>
          <w:rFonts w:ascii="Arial" w:hAnsi="Arial" w:cs="Arial"/>
        </w:rPr>
        <w:t xml:space="preserve">. </w:t>
      </w:r>
      <w:r w:rsidR="00852AE7" w:rsidRPr="0022614C">
        <w:rPr>
          <w:rFonts w:ascii="Arial" w:hAnsi="Arial" w:cs="Arial"/>
        </w:rPr>
        <w:t xml:space="preserve">Information on how to provide this to the patient is here: </w:t>
      </w:r>
      <w:hyperlink r:id="rId11" w:history="1">
        <w:r w:rsidR="00852AE7" w:rsidRPr="0022614C">
          <w:rPr>
            <w:rStyle w:val="Hyperlink"/>
          </w:rPr>
          <w:t>EMIS Web - EPS hints and tips (emisnow.com)</w:t>
        </w:r>
      </w:hyperlink>
      <w:r w:rsidR="00852AE7" w:rsidRPr="0022614C">
        <w:t xml:space="preserve"> (How the patient can collect prescription without a token)</w:t>
      </w:r>
    </w:p>
    <w:p w14:paraId="607CB0C1" w14:textId="13321DD9" w:rsidR="007D7864" w:rsidRDefault="007D7864" w:rsidP="0094170D">
      <w:pPr>
        <w:spacing w:after="0" w:line="276" w:lineRule="auto"/>
        <w:rPr>
          <w:rFonts w:ascii="Arial" w:hAnsi="Arial" w:cs="Arial"/>
        </w:rPr>
      </w:pPr>
    </w:p>
    <w:p w14:paraId="04AFD757" w14:textId="742BA11A" w:rsidR="0094170D" w:rsidRPr="002440A5" w:rsidRDefault="0094170D" w:rsidP="002440A5">
      <w:pPr>
        <w:pStyle w:val="ListParagraph"/>
        <w:numPr>
          <w:ilvl w:val="0"/>
          <w:numId w:val="4"/>
        </w:numPr>
        <w:spacing w:after="0" w:line="276" w:lineRule="auto"/>
        <w:rPr>
          <w:rFonts w:ascii="Arial" w:hAnsi="Arial" w:cs="Arial"/>
        </w:rPr>
      </w:pPr>
      <w:r w:rsidRPr="002440A5">
        <w:rPr>
          <w:rFonts w:ascii="Arial" w:hAnsi="Arial" w:cs="Arial"/>
        </w:rPr>
        <w:t>Reversion to paper FP10s</w:t>
      </w:r>
    </w:p>
    <w:p w14:paraId="10624931" w14:textId="6249F9FB" w:rsidR="00AE5AC2" w:rsidRDefault="00AE5AC2" w:rsidP="0094170D">
      <w:pPr>
        <w:spacing w:after="0" w:line="276" w:lineRule="auto"/>
        <w:rPr>
          <w:rFonts w:ascii="Arial" w:hAnsi="Arial" w:cs="Arial"/>
        </w:rPr>
      </w:pPr>
    </w:p>
    <w:p w14:paraId="4B080DAB" w14:textId="77777777" w:rsidR="002440A5" w:rsidRDefault="002440A5" w:rsidP="0094170D">
      <w:pPr>
        <w:spacing w:after="0" w:line="276" w:lineRule="auto"/>
        <w:rPr>
          <w:rFonts w:ascii="Arial" w:hAnsi="Arial" w:cs="Arial"/>
        </w:rPr>
      </w:pPr>
    </w:p>
    <w:p w14:paraId="521702AD" w14:textId="52BF9E8E" w:rsidR="00AE5AC2" w:rsidRPr="00AE5AC2" w:rsidRDefault="002440A5" w:rsidP="0094170D">
      <w:pPr>
        <w:spacing w:after="0" w:line="276" w:lineRule="auto"/>
        <w:rPr>
          <w:rFonts w:ascii="Arial" w:hAnsi="Arial" w:cs="Arial"/>
          <w:b/>
          <w:bCs/>
        </w:rPr>
      </w:pPr>
      <w:r>
        <w:rPr>
          <w:rFonts w:ascii="Arial" w:hAnsi="Arial" w:cs="Arial"/>
          <w:b/>
          <w:bCs/>
        </w:rPr>
        <w:t xml:space="preserve">How to use </w:t>
      </w:r>
      <w:r w:rsidR="00AE5AC2" w:rsidRPr="00AE5AC2">
        <w:rPr>
          <w:rFonts w:ascii="Arial" w:hAnsi="Arial" w:cs="Arial"/>
          <w:b/>
          <w:bCs/>
        </w:rPr>
        <w:t>EMIS Now</w:t>
      </w:r>
      <w:r w:rsidR="00AE5AC2">
        <w:rPr>
          <w:rFonts w:ascii="Arial" w:hAnsi="Arial" w:cs="Arial"/>
          <w:b/>
          <w:bCs/>
        </w:rPr>
        <w:t xml:space="preserve"> (www.emisnow.com)</w:t>
      </w:r>
      <w:r w:rsidR="003319F6">
        <w:rPr>
          <w:rFonts w:ascii="Arial" w:hAnsi="Arial" w:cs="Arial"/>
          <w:b/>
          <w:bCs/>
        </w:rPr>
        <w:t>:</w:t>
      </w:r>
    </w:p>
    <w:p w14:paraId="43AC77DD" w14:textId="155339DA" w:rsidR="00AE5AC2" w:rsidRDefault="00AE5AC2" w:rsidP="0094170D">
      <w:pPr>
        <w:spacing w:after="0" w:line="276" w:lineRule="auto"/>
        <w:rPr>
          <w:rFonts w:ascii="Arial" w:hAnsi="Arial" w:cs="Arial"/>
        </w:rPr>
      </w:pPr>
    </w:p>
    <w:p w14:paraId="0492902A" w14:textId="27E0AD53" w:rsidR="00AE5AC2" w:rsidRDefault="00AE5AC2" w:rsidP="0094170D">
      <w:pPr>
        <w:spacing w:after="0" w:line="276" w:lineRule="auto"/>
        <w:rPr>
          <w:rFonts w:ascii="Arial" w:hAnsi="Arial" w:cs="Arial"/>
        </w:rPr>
      </w:pPr>
      <w:r>
        <w:rPr>
          <w:rFonts w:ascii="Arial" w:hAnsi="Arial" w:cs="Arial"/>
        </w:rPr>
        <w:t>EMIS Now is</w:t>
      </w:r>
      <w:r w:rsidR="003319F6">
        <w:rPr>
          <w:rFonts w:ascii="Arial" w:hAnsi="Arial" w:cs="Arial"/>
        </w:rPr>
        <w:t xml:space="preserve"> a</w:t>
      </w:r>
      <w:r>
        <w:rPr>
          <w:rFonts w:ascii="Arial" w:hAnsi="Arial" w:cs="Arial"/>
        </w:rPr>
        <w:t xml:space="preserve"> support website with training guides, videos, help and news for all EMIS products</w:t>
      </w:r>
      <w:r w:rsidR="00905EEB">
        <w:rPr>
          <w:rFonts w:ascii="Arial" w:hAnsi="Arial" w:cs="Arial"/>
        </w:rPr>
        <w:t xml:space="preserve">. </w:t>
      </w:r>
      <w:r w:rsidR="003319F6">
        <w:rPr>
          <w:rFonts w:ascii="Arial" w:hAnsi="Arial" w:cs="Arial"/>
        </w:rPr>
        <w:t>You can access the EMIS Now website if you register using your organisation ID/CDB number.</w:t>
      </w:r>
    </w:p>
    <w:p w14:paraId="3EB513FC" w14:textId="43CC8E0D" w:rsidR="003319F6" w:rsidRDefault="003319F6" w:rsidP="0094170D">
      <w:pPr>
        <w:spacing w:after="0" w:line="276" w:lineRule="auto"/>
        <w:rPr>
          <w:rFonts w:ascii="Arial" w:hAnsi="Arial" w:cs="Arial"/>
        </w:rPr>
      </w:pPr>
    </w:p>
    <w:p w14:paraId="19726AF5" w14:textId="77777777" w:rsidR="003319F6" w:rsidRDefault="003319F6" w:rsidP="0094170D">
      <w:pPr>
        <w:spacing w:after="0" w:line="276" w:lineRule="auto"/>
        <w:rPr>
          <w:rFonts w:ascii="Arial" w:hAnsi="Arial" w:cs="Arial"/>
        </w:rPr>
      </w:pPr>
    </w:p>
    <w:sectPr w:rsidR="003319F6" w:rsidSect="0022614C">
      <w:headerReference w:type="first" r:id="rId12"/>
      <w:footerReference w:type="first" r:id="rId13"/>
      <w:pgSz w:w="11906" w:h="16838"/>
      <w:pgMar w:top="1843" w:right="1440" w:bottom="1440" w:left="144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42DBB" w14:textId="77777777" w:rsidR="0094170D" w:rsidRDefault="0094170D" w:rsidP="0094170D">
      <w:pPr>
        <w:spacing w:after="0" w:line="240" w:lineRule="auto"/>
      </w:pPr>
      <w:r>
        <w:separator/>
      </w:r>
    </w:p>
  </w:endnote>
  <w:endnote w:type="continuationSeparator" w:id="0">
    <w:p w14:paraId="26431F02" w14:textId="77777777" w:rsidR="0094170D" w:rsidRDefault="0094170D" w:rsidP="00941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96FC" w14:textId="1CAF4ADE" w:rsidR="00816CA1" w:rsidRPr="00A500B0" w:rsidRDefault="00816CA1" w:rsidP="00816CA1">
    <w:pPr>
      <w:pStyle w:val="Footer"/>
      <w:rPr>
        <w:sz w:val="18"/>
        <w:szCs w:val="18"/>
      </w:rPr>
    </w:pPr>
    <w:r w:rsidRPr="00A500B0">
      <w:rPr>
        <w:noProof/>
        <w:sz w:val="18"/>
        <w:szCs w:val="18"/>
      </w:rPr>
      <w:drawing>
        <wp:anchor distT="0" distB="0" distL="114300" distR="114300" simplePos="0" relativeHeight="251659264" behindDoc="1" locked="0" layoutInCell="1" allowOverlap="1" wp14:anchorId="65807673" wp14:editId="0C4D16B0">
          <wp:simplePos x="0" y="0"/>
          <wp:positionH relativeFrom="page">
            <wp:align>left</wp:align>
          </wp:positionH>
          <wp:positionV relativeFrom="page">
            <wp:align>bottom</wp:align>
          </wp:positionV>
          <wp:extent cx="7559994" cy="1003764"/>
          <wp:effectExtent l="0" t="0" r="0" b="0"/>
          <wp:wrapNone/>
          <wp:docPr id="8" name="Picture 8"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9994" cy="1003764"/>
                  </a:xfrm>
                  <a:prstGeom prst="rect">
                    <a:avLst/>
                  </a:prstGeom>
                </pic:spPr>
              </pic:pic>
            </a:graphicData>
          </a:graphic>
          <wp14:sizeRelH relativeFrom="margin">
            <wp14:pctWidth>0</wp14:pctWidth>
          </wp14:sizeRelH>
          <wp14:sizeRelV relativeFrom="margin">
            <wp14:pctHeight>0</wp14:pctHeight>
          </wp14:sizeRelV>
        </wp:anchor>
      </w:drawing>
    </w:r>
    <w:r w:rsidRPr="00A500B0">
      <w:rPr>
        <w:sz w:val="18"/>
        <w:szCs w:val="18"/>
      </w:rPr>
      <w:t>Agreed by the Primary Care Medicines Optimisation Clinical Reference Group January 2023</w:t>
    </w:r>
  </w:p>
  <w:p w14:paraId="3BC82D38" w14:textId="769DA3D7" w:rsidR="00816CA1" w:rsidRPr="00A500B0" w:rsidRDefault="00816CA1" w:rsidP="00816CA1">
    <w:pPr>
      <w:pStyle w:val="Footer"/>
      <w:rPr>
        <w:sz w:val="18"/>
        <w:szCs w:val="18"/>
      </w:rPr>
    </w:pPr>
    <w:r w:rsidRPr="00A500B0">
      <w:rPr>
        <w:sz w:val="18"/>
        <w:szCs w:val="18"/>
      </w:rPr>
      <w:t>Review January 202</w:t>
    </w:r>
    <w:r>
      <w:rPr>
        <w:sz w:val="18"/>
        <w:szCs w:val="18"/>
      </w:rPr>
      <w:t>5</w:t>
    </w:r>
  </w:p>
  <w:p w14:paraId="05E97530" w14:textId="097B97F0" w:rsidR="00B165DB" w:rsidRDefault="00B165DB" w:rsidP="00816CA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936C4" w14:textId="77777777" w:rsidR="0094170D" w:rsidRDefault="0094170D" w:rsidP="0094170D">
      <w:pPr>
        <w:spacing w:after="0" w:line="240" w:lineRule="auto"/>
      </w:pPr>
      <w:r>
        <w:separator/>
      </w:r>
    </w:p>
  </w:footnote>
  <w:footnote w:type="continuationSeparator" w:id="0">
    <w:p w14:paraId="6F89BDDB" w14:textId="77777777" w:rsidR="0094170D" w:rsidRDefault="0094170D" w:rsidP="009417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AB1AA" w14:textId="1285E4BB" w:rsidR="0094170D" w:rsidRDefault="00B165DB" w:rsidP="00B165DB">
    <w:pPr>
      <w:pStyle w:val="Header"/>
      <w:jc w:val="right"/>
    </w:pPr>
    <w:r w:rsidRPr="00630D4A">
      <w:rPr>
        <w:noProof/>
        <w:lang w:eastAsia="en-GB"/>
      </w:rPr>
      <w:drawing>
        <wp:inline distT="0" distB="0" distL="0" distR="0" wp14:anchorId="35A48E02" wp14:editId="3A3663EA">
          <wp:extent cx="3219450" cy="806907"/>
          <wp:effectExtent l="0" t="0" r="0" b="0"/>
          <wp:docPr id="12" name="Picture 12" descr="C:\Users\fiona.poulter\AppData\Local\Microsoft\Windows\INetCache\Content.Outlook\TNRMMCZ6\SH_MainLogo_CMYK.jp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ona.poulter\AppData\Local\Microsoft\Windows\INetCache\Content.Outlook\TNRMMCZ6\SH_MainLogo_CMYK.jp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57339" cy="81640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E0FC0"/>
    <w:multiLevelType w:val="hybridMultilevel"/>
    <w:tmpl w:val="9D1E31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2486D5A"/>
    <w:multiLevelType w:val="multilevel"/>
    <w:tmpl w:val="BAFE2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23C09C6"/>
    <w:multiLevelType w:val="hybridMultilevel"/>
    <w:tmpl w:val="7CDEEA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9981F59"/>
    <w:multiLevelType w:val="hybridMultilevel"/>
    <w:tmpl w:val="28466D7A"/>
    <w:lvl w:ilvl="0" w:tplc="3FBA46A2">
      <w:start w:val="1"/>
      <w:numFmt w:val="lowerLetter"/>
      <w:lvlText w:val="%1)"/>
      <w:lvlJc w:val="left"/>
      <w:pPr>
        <w:ind w:left="720" w:hanging="360"/>
      </w:pPr>
      <w:rPr>
        <w:rFonts w:ascii="Arial" w:hAnsi="Arial"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42556459">
    <w:abstractNumId w:val="1"/>
  </w:num>
  <w:num w:numId="2" w16cid:durableId="1239094748">
    <w:abstractNumId w:val="2"/>
  </w:num>
  <w:num w:numId="3" w16cid:durableId="282001863">
    <w:abstractNumId w:val="0"/>
  </w:num>
  <w:num w:numId="4" w16cid:durableId="58696714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7CF"/>
    <w:rsid w:val="0000582C"/>
    <w:rsid w:val="001643AE"/>
    <w:rsid w:val="00176786"/>
    <w:rsid w:val="00215F7A"/>
    <w:rsid w:val="0022614C"/>
    <w:rsid w:val="002440A5"/>
    <w:rsid w:val="003137CF"/>
    <w:rsid w:val="003319F6"/>
    <w:rsid w:val="004A5E42"/>
    <w:rsid w:val="004E35A3"/>
    <w:rsid w:val="00553CAF"/>
    <w:rsid w:val="005E38CF"/>
    <w:rsid w:val="005F3E6C"/>
    <w:rsid w:val="00651DB4"/>
    <w:rsid w:val="00685129"/>
    <w:rsid w:val="007D7864"/>
    <w:rsid w:val="00816CA1"/>
    <w:rsid w:val="00842016"/>
    <w:rsid w:val="00852AE7"/>
    <w:rsid w:val="008B1434"/>
    <w:rsid w:val="008F3405"/>
    <w:rsid w:val="00905EEB"/>
    <w:rsid w:val="00911D4C"/>
    <w:rsid w:val="00925241"/>
    <w:rsid w:val="00934CFE"/>
    <w:rsid w:val="0094170D"/>
    <w:rsid w:val="009B3DC8"/>
    <w:rsid w:val="009E45CB"/>
    <w:rsid w:val="00A32E50"/>
    <w:rsid w:val="00A6381D"/>
    <w:rsid w:val="00AE5AC2"/>
    <w:rsid w:val="00B165DB"/>
    <w:rsid w:val="00C220C5"/>
    <w:rsid w:val="00CA77D7"/>
    <w:rsid w:val="00D61F97"/>
    <w:rsid w:val="00D803C5"/>
    <w:rsid w:val="00EC4076"/>
    <w:rsid w:val="00EE1C5B"/>
    <w:rsid w:val="00F6062B"/>
    <w:rsid w:val="00F778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209EF489"/>
  <w15:chartTrackingRefBased/>
  <w15:docId w15:val="{1E1FBA09-2727-46F4-A876-6FD55252F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xxxxxxxxxxxxmsonormal">
    <w:name w:val="x_x_x_x_x_x_x_x_x_x_x_x_x_x_msonormal"/>
    <w:basedOn w:val="Normal"/>
    <w:rsid w:val="00F7783C"/>
    <w:pPr>
      <w:spacing w:before="100" w:beforeAutospacing="1" w:after="100" w:afterAutospacing="1" w:line="240" w:lineRule="auto"/>
    </w:pPr>
    <w:rPr>
      <w:rFonts w:ascii="Calibri" w:hAnsi="Calibri" w:cs="Calibri"/>
      <w:lang w:eastAsia="en-GB"/>
    </w:rPr>
  </w:style>
  <w:style w:type="character" w:styleId="Hyperlink">
    <w:name w:val="Hyperlink"/>
    <w:basedOn w:val="DefaultParagraphFont"/>
    <w:uiPriority w:val="99"/>
    <w:semiHidden/>
    <w:unhideWhenUsed/>
    <w:rsid w:val="00934CFE"/>
    <w:rPr>
      <w:color w:val="0000FF"/>
      <w:u w:val="single"/>
    </w:rPr>
  </w:style>
  <w:style w:type="character" w:styleId="FollowedHyperlink">
    <w:name w:val="FollowedHyperlink"/>
    <w:basedOn w:val="DefaultParagraphFont"/>
    <w:uiPriority w:val="99"/>
    <w:semiHidden/>
    <w:unhideWhenUsed/>
    <w:rsid w:val="00651DB4"/>
    <w:rPr>
      <w:color w:val="954F72" w:themeColor="followedHyperlink"/>
      <w:u w:val="single"/>
    </w:rPr>
  </w:style>
  <w:style w:type="paragraph" w:styleId="ListParagraph">
    <w:name w:val="List Paragraph"/>
    <w:basedOn w:val="Normal"/>
    <w:uiPriority w:val="34"/>
    <w:qFormat/>
    <w:rsid w:val="0094170D"/>
    <w:pPr>
      <w:ind w:left="720"/>
      <w:contextualSpacing/>
    </w:pPr>
  </w:style>
  <w:style w:type="paragraph" w:styleId="Header">
    <w:name w:val="header"/>
    <w:basedOn w:val="Normal"/>
    <w:link w:val="HeaderChar"/>
    <w:uiPriority w:val="99"/>
    <w:unhideWhenUsed/>
    <w:rsid w:val="0094170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70D"/>
  </w:style>
  <w:style w:type="paragraph" w:styleId="Footer">
    <w:name w:val="footer"/>
    <w:basedOn w:val="Normal"/>
    <w:link w:val="FooterChar"/>
    <w:uiPriority w:val="99"/>
    <w:unhideWhenUsed/>
    <w:rsid w:val="0094170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70D"/>
  </w:style>
  <w:style w:type="paragraph" w:styleId="NormalWeb">
    <w:name w:val="Normal (Web)"/>
    <w:basedOn w:val="Normal"/>
    <w:uiPriority w:val="99"/>
    <w:semiHidden/>
    <w:unhideWhenUsed/>
    <w:rsid w:val="003319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3319F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5025213">
      <w:bodyDiv w:val="1"/>
      <w:marLeft w:val="0"/>
      <w:marRight w:val="0"/>
      <w:marTop w:val="0"/>
      <w:marBottom w:val="0"/>
      <w:divBdr>
        <w:top w:val="none" w:sz="0" w:space="0" w:color="auto"/>
        <w:left w:val="none" w:sz="0" w:space="0" w:color="auto"/>
        <w:bottom w:val="none" w:sz="0" w:space="0" w:color="auto"/>
        <w:right w:val="none" w:sz="0" w:space="0" w:color="auto"/>
      </w:divBdr>
    </w:div>
    <w:div w:id="927234562">
      <w:bodyDiv w:val="1"/>
      <w:marLeft w:val="0"/>
      <w:marRight w:val="0"/>
      <w:marTop w:val="0"/>
      <w:marBottom w:val="0"/>
      <w:divBdr>
        <w:top w:val="none" w:sz="0" w:space="0" w:color="auto"/>
        <w:left w:val="none" w:sz="0" w:space="0" w:color="auto"/>
        <w:bottom w:val="none" w:sz="0" w:space="0" w:color="auto"/>
        <w:right w:val="none" w:sz="0" w:space="0" w:color="auto"/>
      </w:divBdr>
    </w:div>
    <w:div w:id="178234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nc.org.uk/wp-content/uploads/2013/04/PSNC-Briefing-076.16-How-GPs-and-pharmacies-can-work-together-on-EPS-business-continuity-002.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psnc.org.uk/digital-and-technology/contingency-it/"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emisnow.com/csm?id=kb_article&amp;sys_id=682081a31bdb3890154b20e7b04bcbb1"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hyperlink" Target="https://www.emisnow.com/csm?id=kb_category&amp;kb_id=6a6402fd1baba7408ceaa64c2e4bcb5d&amp;kb_category=dd466e5c1b999c10ad70ec2e6e4bcb34"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MARLOW, Helen (NHS SURREY HEARTLANDS ICB - 92A)</dc:creator>
  <cp:keywords/>
  <dc:description/>
  <cp:lastModifiedBy>SOLOMONS, Kevin (NHS SURREY HEARTLANDS ICB - 92A)</cp:lastModifiedBy>
  <cp:revision>4</cp:revision>
  <dcterms:created xsi:type="dcterms:W3CDTF">2023-01-12T14:33:00Z</dcterms:created>
  <dcterms:modified xsi:type="dcterms:W3CDTF">2023-02-07T11:00:00Z</dcterms:modified>
</cp:coreProperties>
</file>